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63631D" w14:textId="77777777" w:rsidR="0024797E" w:rsidRPr="0024797E" w:rsidRDefault="0024797E" w:rsidP="0024797E">
      <w:pPr>
        <w:spacing w:after="0" w:line="240" w:lineRule="auto"/>
        <w:rPr>
          <w:rFonts w:ascii="Times New Roman" w:eastAsia="Times New Roman" w:hAnsi="Times New Roman" w:cs="Times New Roman"/>
          <w:kern w:val="0"/>
          <w:lang w:eastAsia="de-DE"/>
          <w14:ligatures w14:val="none"/>
        </w:rPr>
      </w:pPr>
      <w:r w:rsidRPr="0024797E">
        <w:rPr>
          <w:rFonts w:ascii="Arial" w:eastAsia="Times New Roman" w:hAnsi="Arial" w:cs="Arial"/>
          <w:i/>
          <w:iCs/>
          <w:color w:val="000000"/>
          <w:kern w:val="0"/>
          <w:sz w:val="22"/>
          <w:szCs w:val="22"/>
          <w:lang w:eastAsia="de-DE"/>
          <w14:ligatures w14:val="none"/>
        </w:rPr>
        <w:t>Dieser Musterantrag ist als überparteiliche Initiative zu verstehen. Bei Einbringung des Antrags im entsprechenden Gremium sollte das mögliche Abstimmungsergebnis (also eine potenzielle Ablehnung) bedacht werden und auf dieser Abwägung eine Einbringung entschieden werden. </w:t>
      </w:r>
    </w:p>
    <w:p w14:paraId="5EDE3AE8" w14:textId="77777777" w:rsidR="0024797E" w:rsidRPr="0024797E" w:rsidRDefault="0024797E" w:rsidP="0024797E">
      <w:pPr>
        <w:spacing w:after="240" w:line="240" w:lineRule="auto"/>
        <w:rPr>
          <w:rFonts w:ascii="Times New Roman" w:eastAsia="Times New Roman" w:hAnsi="Times New Roman" w:cs="Times New Roman"/>
          <w:kern w:val="0"/>
          <w:lang w:eastAsia="de-DE"/>
          <w14:ligatures w14:val="none"/>
        </w:rPr>
      </w:pPr>
    </w:p>
    <w:p w14:paraId="0E86BB5D" w14:textId="77777777" w:rsidR="0024797E" w:rsidRPr="0024797E" w:rsidRDefault="0024797E" w:rsidP="0024797E">
      <w:pPr>
        <w:spacing w:after="0" w:line="240" w:lineRule="auto"/>
        <w:jc w:val="right"/>
        <w:rPr>
          <w:rFonts w:ascii="Times New Roman" w:eastAsia="Times New Roman" w:hAnsi="Times New Roman" w:cs="Times New Roman"/>
          <w:kern w:val="0"/>
          <w:lang w:eastAsia="de-DE"/>
          <w14:ligatures w14:val="none"/>
        </w:rPr>
      </w:pPr>
      <w:r w:rsidRPr="0024797E">
        <w:rPr>
          <w:rFonts w:ascii="Arial" w:eastAsia="Times New Roman" w:hAnsi="Arial" w:cs="Arial"/>
          <w:color w:val="000000"/>
          <w:kern w:val="0"/>
          <w:sz w:val="22"/>
          <w:szCs w:val="22"/>
          <w:shd w:val="clear" w:color="auto" w:fill="FFFF00"/>
          <w:lang w:eastAsia="de-DE"/>
          <w14:ligatures w14:val="none"/>
        </w:rPr>
        <w:t>Ratsfraktion(en) im Landkreis/der kreisfreien Stadt/Gemeinde XYZ</w:t>
      </w:r>
    </w:p>
    <w:p w14:paraId="61CE9388" w14:textId="77777777" w:rsidR="0024797E" w:rsidRPr="0024797E" w:rsidRDefault="0024797E" w:rsidP="0024797E">
      <w:pPr>
        <w:spacing w:after="0" w:line="240" w:lineRule="auto"/>
        <w:rPr>
          <w:rFonts w:ascii="Times New Roman" w:eastAsia="Times New Roman" w:hAnsi="Times New Roman" w:cs="Times New Roman"/>
          <w:kern w:val="0"/>
          <w:lang w:eastAsia="de-DE"/>
          <w14:ligatures w14:val="none"/>
        </w:rPr>
      </w:pPr>
    </w:p>
    <w:p w14:paraId="4CFEC3D0" w14:textId="77777777" w:rsidR="0024797E" w:rsidRPr="0024797E" w:rsidRDefault="0024797E" w:rsidP="0024797E">
      <w:pPr>
        <w:spacing w:after="0" w:line="240" w:lineRule="auto"/>
        <w:rPr>
          <w:rFonts w:ascii="Times New Roman" w:eastAsia="Times New Roman" w:hAnsi="Times New Roman" w:cs="Times New Roman"/>
          <w:kern w:val="0"/>
          <w:lang w:eastAsia="de-DE"/>
          <w14:ligatures w14:val="none"/>
        </w:rPr>
      </w:pPr>
      <w:r w:rsidRPr="0024797E">
        <w:rPr>
          <w:rFonts w:ascii="Arial" w:eastAsia="Times New Roman" w:hAnsi="Arial" w:cs="Arial"/>
          <w:b/>
          <w:bCs/>
          <w:color w:val="000000"/>
          <w:kern w:val="0"/>
          <w:sz w:val="22"/>
          <w:szCs w:val="22"/>
          <w:lang w:eastAsia="de-DE"/>
          <w14:ligatures w14:val="none"/>
        </w:rPr>
        <w:t>Echte Entlastung für unsere Kommune schaffen: Handlungsfähigkeit sichern, Sozialabbau verhindern und Einnahmen des Bundes gerecht verteilen </w:t>
      </w:r>
    </w:p>
    <w:p w14:paraId="64AAE29E" w14:textId="77777777" w:rsidR="0024797E" w:rsidRPr="0024797E" w:rsidRDefault="0024797E" w:rsidP="0024797E">
      <w:pPr>
        <w:spacing w:before="240" w:after="240" w:line="240" w:lineRule="auto"/>
        <w:jc w:val="both"/>
        <w:rPr>
          <w:rFonts w:ascii="Times New Roman" w:eastAsia="Times New Roman" w:hAnsi="Times New Roman" w:cs="Times New Roman"/>
          <w:kern w:val="0"/>
          <w:lang w:eastAsia="de-DE"/>
          <w14:ligatures w14:val="none"/>
        </w:rPr>
      </w:pPr>
      <w:r w:rsidRPr="0024797E">
        <w:rPr>
          <w:rFonts w:ascii="Arial" w:eastAsia="Times New Roman" w:hAnsi="Arial" w:cs="Arial"/>
          <w:color w:val="000000"/>
          <w:kern w:val="0"/>
          <w:sz w:val="22"/>
          <w:szCs w:val="22"/>
          <w:lang w:eastAsia="de-DE"/>
          <w14:ligatures w14:val="none"/>
        </w:rPr>
        <w:t xml:space="preserve">Die Handlungsfähigkeit unserer Kommunen ist die Grundvoraussetzung für ein funktionierendes Gemeinwesen. Dieses Fundament ist jedoch existenziell bedroht: 2025 schlug bei unseren Kommunen ein Finanzierungsdefizit von 31,9 Milliarden Euro zu Buche. Ein Rekordwert – nie war die Haushaltslücke in Landkreisen, Städten und Gemeinden seit der Wiedervereinigung größer. Und eine Besserung ist nicht in Sicht. Auch in </w:t>
      </w:r>
      <w:r w:rsidRPr="0024797E">
        <w:rPr>
          <w:rFonts w:ascii="Arial" w:eastAsia="Times New Roman" w:hAnsi="Arial" w:cs="Arial"/>
          <w:color w:val="000000"/>
          <w:kern w:val="0"/>
          <w:sz w:val="22"/>
          <w:szCs w:val="22"/>
          <w:shd w:val="clear" w:color="auto" w:fill="FFFF00"/>
          <w:lang w:eastAsia="de-DE"/>
          <w14:ligatures w14:val="none"/>
        </w:rPr>
        <w:t>unserer Kommune [Name der Kommune]</w:t>
      </w:r>
      <w:r w:rsidRPr="0024797E">
        <w:rPr>
          <w:rFonts w:ascii="Arial" w:eastAsia="Times New Roman" w:hAnsi="Arial" w:cs="Arial"/>
          <w:color w:val="000000"/>
          <w:kern w:val="0"/>
          <w:sz w:val="22"/>
          <w:szCs w:val="22"/>
          <w:lang w:eastAsia="de-DE"/>
          <w14:ligatures w14:val="none"/>
        </w:rPr>
        <w:t xml:space="preserve"> führt die dramatische Finanzlage dazu, dass freiwillige Leistungen eingeschränkt und Konsolidierungsmaßnahmen ergriffen werden müssen. Der Gestaltungsspielraum schwindet. </w:t>
      </w:r>
      <w:r w:rsidRPr="0024797E">
        <w:rPr>
          <w:rFonts w:ascii="Arial" w:eastAsia="Times New Roman" w:hAnsi="Arial" w:cs="Arial"/>
          <w:color w:val="000000"/>
          <w:kern w:val="0"/>
          <w:sz w:val="22"/>
          <w:szCs w:val="22"/>
          <w:shd w:val="clear" w:color="auto" w:fill="FFFF00"/>
          <w:lang w:eastAsia="de-DE"/>
          <w14:ligatures w14:val="none"/>
        </w:rPr>
        <w:t>[Optional: hier ein konkretes lokales Beispiel einfügen]</w:t>
      </w:r>
      <w:r w:rsidRPr="0024797E">
        <w:rPr>
          <w:rFonts w:ascii="Arial" w:eastAsia="Times New Roman" w:hAnsi="Arial" w:cs="Arial"/>
          <w:color w:val="000000"/>
          <w:kern w:val="0"/>
          <w:sz w:val="22"/>
          <w:szCs w:val="22"/>
          <w:lang w:eastAsia="de-DE"/>
          <w14:ligatures w14:val="none"/>
        </w:rPr>
        <w:t>.</w:t>
      </w:r>
    </w:p>
    <w:p w14:paraId="0AC4C25C" w14:textId="77777777" w:rsidR="0024797E" w:rsidRPr="0024797E" w:rsidRDefault="0024797E" w:rsidP="0024797E">
      <w:pPr>
        <w:spacing w:before="240" w:after="240" w:line="240" w:lineRule="auto"/>
        <w:jc w:val="both"/>
        <w:rPr>
          <w:rFonts w:ascii="Times New Roman" w:eastAsia="Times New Roman" w:hAnsi="Times New Roman" w:cs="Times New Roman"/>
          <w:kern w:val="0"/>
          <w:lang w:eastAsia="de-DE"/>
          <w14:ligatures w14:val="none"/>
        </w:rPr>
      </w:pPr>
      <w:r w:rsidRPr="0024797E">
        <w:rPr>
          <w:rFonts w:ascii="Arial" w:eastAsia="Times New Roman" w:hAnsi="Arial" w:cs="Arial"/>
          <w:color w:val="000000"/>
          <w:kern w:val="0"/>
          <w:sz w:val="22"/>
          <w:szCs w:val="22"/>
          <w:lang w:eastAsia="de-DE"/>
          <w14:ligatures w14:val="none"/>
        </w:rPr>
        <w:t xml:space="preserve">Bisherige Vorhaben auf Bundesebene, die die Kommunalfinanzen adressieren, greifen zu kurz. Das Länder- und Kommunalentlastungsgesetz (LKEG), das im Juli im Bundestag verabschiedet wurde, deckt weniger als 3 % der kommunalen Altschulden ab und weitere Mittel </w:t>
      </w:r>
      <w:proofErr w:type="gramStart"/>
      <w:r w:rsidRPr="0024797E">
        <w:rPr>
          <w:rFonts w:ascii="Arial" w:eastAsia="Times New Roman" w:hAnsi="Arial" w:cs="Arial"/>
          <w:color w:val="000000"/>
          <w:kern w:val="0"/>
          <w:sz w:val="22"/>
          <w:szCs w:val="22"/>
          <w:lang w:eastAsia="de-DE"/>
          <w14:ligatures w14:val="none"/>
        </w:rPr>
        <w:t>kommen</w:t>
      </w:r>
      <w:proofErr w:type="gramEnd"/>
      <w:r w:rsidRPr="0024797E">
        <w:rPr>
          <w:rFonts w:ascii="Arial" w:eastAsia="Times New Roman" w:hAnsi="Arial" w:cs="Arial"/>
          <w:color w:val="000000"/>
          <w:kern w:val="0"/>
          <w:sz w:val="22"/>
          <w:szCs w:val="22"/>
          <w:lang w:eastAsia="de-DE"/>
          <w14:ligatures w14:val="none"/>
        </w:rPr>
        <w:t xml:space="preserve"> kaum bei den Kommunen an. Denn das Geld fließt ohne Weiterleitungspflicht an die Länder. </w:t>
      </w:r>
    </w:p>
    <w:p w14:paraId="3960F9AC" w14:textId="77777777" w:rsidR="0024797E" w:rsidRPr="0024797E" w:rsidRDefault="0024797E" w:rsidP="0024797E">
      <w:pPr>
        <w:spacing w:before="240" w:after="240" w:line="240" w:lineRule="auto"/>
        <w:jc w:val="both"/>
        <w:rPr>
          <w:rFonts w:ascii="Times New Roman" w:eastAsia="Times New Roman" w:hAnsi="Times New Roman" w:cs="Times New Roman"/>
          <w:kern w:val="0"/>
          <w:lang w:eastAsia="de-DE"/>
          <w14:ligatures w14:val="none"/>
        </w:rPr>
      </w:pPr>
      <w:r w:rsidRPr="0024797E">
        <w:rPr>
          <w:rFonts w:ascii="Arial" w:eastAsia="Times New Roman" w:hAnsi="Arial" w:cs="Arial"/>
          <w:color w:val="000000"/>
          <w:kern w:val="0"/>
          <w:sz w:val="22"/>
          <w:szCs w:val="22"/>
          <w:lang w:eastAsia="de-DE"/>
          <w14:ligatures w14:val="none"/>
        </w:rPr>
        <w:t xml:space="preserve">Dabei wäre es möglich, im Bund zu handeln und Maßnahmen zu ergreifen für eine auskömmliche Finanzierung der Kommunen und für die Anwendung der </w:t>
      </w:r>
      <w:proofErr w:type="spellStart"/>
      <w:r w:rsidRPr="0024797E">
        <w:rPr>
          <w:rFonts w:ascii="Arial" w:eastAsia="Times New Roman" w:hAnsi="Arial" w:cs="Arial"/>
          <w:color w:val="000000"/>
          <w:kern w:val="0"/>
          <w:sz w:val="22"/>
          <w:szCs w:val="22"/>
          <w:lang w:eastAsia="de-DE"/>
          <w14:ligatures w14:val="none"/>
        </w:rPr>
        <w:t>Konnexitätsregelungen</w:t>
      </w:r>
      <w:proofErr w:type="spellEnd"/>
      <w:r w:rsidRPr="0024797E">
        <w:rPr>
          <w:rFonts w:ascii="Arial" w:eastAsia="Times New Roman" w:hAnsi="Arial" w:cs="Arial"/>
          <w:color w:val="000000"/>
          <w:kern w:val="0"/>
          <w:sz w:val="22"/>
          <w:szCs w:val="22"/>
          <w:lang w:eastAsia="de-DE"/>
          <w14:ligatures w14:val="none"/>
        </w:rPr>
        <w:t xml:space="preserve">. Nur durch das Schließen von Steuerlücken bei Erbschaften und Immobilien und eine gerechte Besteuerung von Digitalkonzernen und Kryptogewinnen ließen sich jährlich zweistellige Milliardenbeträge generieren, die für das Gemeinwesen und die kommunale Ebene verwendet werden könnten. Im deutschen Steuersystem werden insbesondere die strukturell bevorteilt, </w:t>
      </w:r>
      <w:proofErr w:type="gramStart"/>
      <w:r w:rsidRPr="0024797E">
        <w:rPr>
          <w:rFonts w:ascii="Arial" w:eastAsia="Times New Roman" w:hAnsi="Arial" w:cs="Arial"/>
          <w:color w:val="000000"/>
          <w:kern w:val="0"/>
          <w:sz w:val="22"/>
          <w:szCs w:val="22"/>
          <w:lang w:eastAsia="de-DE"/>
          <w14:ligatures w14:val="none"/>
        </w:rPr>
        <w:t>die extrem hohe Vermögen</w:t>
      </w:r>
      <w:proofErr w:type="gramEnd"/>
      <w:r w:rsidRPr="0024797E">
        <w:rPr>
          <w:rFonts w:ascii="Arial" w:eastAsia="Times New Roman" w:hAnsi="Arial" w:cs="Arial"/>
          <w:color w:val="000000"/>
          <w:kern w:val="0"/>
          <w:sz w:val="22"/>
          <w:szCs w:val="22"/>
          <w:lang w:eastAsia="de-DE"/>
          <w14:ligatures w14:val="none"/>
        </w:rPr>
        <w:t xml:space="preserve"> besitzen. Das kann der Bund ändern. </w:t>
      </w:r>
    </w:p>
    <w:p w14:paraId="58570271" w14:textId="77777777" w:rsidR="0024797E" w:rsidRPr="0024797E" w:rsidRDefault="0024797E" w:rsidP="0024797E">
      <w:pPr>
        <w:spacing w:before="240" w:after="240" w:line="240" w:lineRule="auto"/>
        <w:jc w:val="both"/>
        <w:rPr>
          <w:rFonts w:ascii="Times New Roman" w:eastAsia="Times New Roman" w:hAnsi="Times New Roman" w:cs="Times New Roman"/>
          <w:kern w:val="0"/>
          <w:lang w:eastAsia="de-DE"/>
          <w14:ligatures w14:val="none"/>
        </w:rPr>
      </w:pPr>
      <w:r w:rsidRPr="0024797E">
        <w:rPr>
          <w:rFonts w:ascii="Arial" w:eastAsia="Times New Roman" w:hAnsi="Arial" w:cs="Arial"/>
          <w:color w:val="000000"/>
          <w:kern w:val="0"/>
          <w:sz w:val="22"/>
          <w:szCs w:val="22"/>
          <w:lang w:eastAsia="de-DE"/>
          <w14:ligatures w14:val="none"/>
        </w:rPr>
        <w:t>Deshalb brauchen wir eine Kehrtwende: Statt unzureichender Symbolpolitik und drohendem Sozialabbau fordern wir eine gerechte Einnahmenpolitik des Bundes und direkte finanzielle Zuweisungen über die Umsatzsteuer an die Kommunen, um die Handlungsfähigkeit unserer Städte und Gemeinden dauerhaft zu gewährleisten, unseren Zusammenhalt zu sichern und die Demokratie zu stärken. </w:t>
      </w:r>
    </w:p>
    <w:p w14:paraId="1D05836B" w14:textId="77777777" w:rsidR="0024797E" w:rsidRPr="0024797E" w:rsidRDefault="0024797E" w:rsidP="0024797E">
      <w:pPr>
        <w:spacing w:after="0" w:line="240" w:lineRule="auto"/>
        <w:rPr>
          <w:rFonts w:ascii="Times New Roman" w:eastAsia="Times New Roman" w:hAnsi="Times New Roman" w:cs="Times New Roman"/>
          <w:kern w:val="0"/>
          <w:lang w:eastAsia="de-DE"/>
          <w14:ligatures w14:val="none"/>
        </w:rPr>
      </w:pPr>
      <w:r w:rsidRPr="0024797E">
        <w:rPr>
          <w:rFonts w:ascii="Arial" w:eastAsia="Times New Roman" w:hAnsi="Arial" w:cs="Arial"/>
          <w:color w:val="000000"/>
          <w:kern w:val="0"/>
          <w:sz w:val="22"/>
          <w:szCs w:val="22"/>
          <w:lang w:eastAsia="de-DE"/>
          <w14:ligatures w14:val="none"/>
        </w:rPr>
        <w:t xml:space="preserve">Hierzu möge </w:t>
      </w:r>
      <w:r w:rsidRPr="0024797E">
        <w:rPr>
          <w:rFonts w:ascii="Arial" w:eastAsia="Times New Roman" w:hAnsi="Arial" w:cs="Arial"/>
          <w:color w:val="000000"/>
          <w:kern w:val="0"/>
          <w:sz w:val="22"/>
          <w:szCs w:val="22"/>
          <w:shd w:val="clear" w:color="auto" w:fill="FFFF00"/>
          <w:lang w:eastAsia="de-DE"/>
          <w14:ligatures w14:val="none"/>
        </w:rPr>
        <w:t xml:space="preserve">der Stadtrat/Gemeinderat/Kreistag XYZ </w:t>
      </w:r>
      <w:r w:rsidRPr="0024797E">
        <w:rPr>
          <w:rFonts w:ascii="Arial" w:eastAsia="Times New Roman" w:hAnsi="Arial" w:cs="Arial"/>
          <w:color w:val="000000"/>
          <w:kern w:val="0"/>
          <w:sz w:val="22"/>
          <w:szCs w:val="22"/>
          <w:lang w:eastAsia="de-DE"/>
          <w14:ligatures w14:val="none"/>
        </w:rPr>
        <w:t>beschließen:</w:t>
      </w:r>
    </w:p>
    <w:p w14:paraId="778F5597" w14:textId="77777777" w:rsidR="0024797E" w:rsidRPr="0024797E" w:rsidRDefault="0024797E" w:rsidP="0024797E">
      <w:pPr>
        <w:spacing w:after="0" w:line="240" w:lineRule="auto"/>
        <w:rPr>
          <w:rFonts w:ascii="Times New Roman" w:eastAsia="Times New Roman" w:hAnsi="Times New Roman" w:cs="Times New Roman"/>
          <w:kern w:val="0"/>
          <w:lang w:eastAsia="de-DE"/>
          <w14:ligatures w14:val="none"/>
        </w:rPr>
      </w:pPr>
      <w:r w:rsidRPr="0024797E">
        <w:rPr>
          <w:rFonts w:ascii="Arial" w:eastAsia="Times New Roman" w:hAnsi="Arial" w:cs="Arial"/>
          <w:color w:val="000000"/>
          <w:kern w:val="0"/>
          <w:sz w:val="22"/>
          <w:szCs w:val="22"/>
          <w:lang w:eastAsia="de-DE"/>
          <w14:ligatures w14:val="none"/>
        </w:rPr>
        <w:t> </w:t>
      </w:r>
    </w:p>
    <w:p w14:paraId="50D38B20" w14:textId="77777777" w:rsidR="0024797E" w:rsidRPr="0024797E" w:rsidRDefault="0024797E" w:rsidP="0024797E">
      <w:pPr>
        <w:spacing w:after="0" w:line="240" w:lineRule="auto"/>
        <w:rPr>
          <w:rFonts w:ascii="Times New Roman" w:eastAsia="Times New Roman" w:hAnsi="Times New Roman" w:cs="Times New Roman"/>
          <w:kern w:val="0"/>
          <w:lang w:eastAsia="de-DE"/>
          <w14:ligatures w14:val="none"/>
        </w:rPr>
      </w:pPr>
      <w:r w:rsidRPr="0024797E">
        <w:rPr>
          <w:rFonts w:ascii="Arial" w:eastAsia="Times New Roman" w:hAnsi="Arial" w:cs="Arial"/>
          <w:color w:val="000000"/>
          <w:kern w:val="0"/>
          <w:sz w:val="22"/>
          <w:szCs w:val="22"/>
          <w:lang w:eastAsia="de-DE"/>
          <w14:ligatures w14:val="none"/>
        </w:rPr>
        <w:t xml:space="preserve">Der </w:t>
      </w:r>
      <w:r w:rsidRPr="0024797E">
        <w:rPr>
          <w:rFonts w:ascii="Arial" w:eastAsia="Times New Roman" w:hAnsi="Arial" w:cs="Arial"/>
          <w:color w:val="000000"/>
          <w:kern w:val="0"/>
          <w:sz w:val="22"/>
          <w:szCs w:val="22"/>
          <w:shd w:val="clear" w:color="auto" w:fill="FFFF00"/>
          <w:lang w:eastAsia="de-DE"/>
          <w14:ligatures w14:val="none"/>
        </w:rPr>
        <w:t xml:space="preserve">Stadtrat/Gemeinderat/Kreistag XYZ </w:t>
      </w:r>
      <w:r w:rsidRPr="0024797E">
        <w:rPr>
          <w:rFonts w:ascii="Arial" w:eastAsia="Times New Roman" w:hAnsi="Arial" w:cs="Arial"/>
          <w:color w:val="000000"/>
          <w:kern w:val="0"/>
          <w:sz w:val="22"/>
          <w:szCs w:val="22"/>
          <w:lang w:eastAsia="de-DE"/>
          <w14:ligatures w14:val="none"/>
        </w:rPr>
        <w:t>fordert</w:t>
      </w:r>
    </w:p>
    <w:p w14:paraId="5E8D1B79" w14:textId="77777777" w:rsidR="0024797E" w:rsidRPr="0024797E" w:rsidRDefault="0024797E" w:rsidP="0024797E">
      <w:pPr>
        <w:numPr>
          <w:ilvl w:val="0"/>
          <w:numId w:val="2"/>
        </w:numPr>
        <w:spacing w:after="200" w:line="240" w:lineRule="auto"/>
        <w:textAlignment w:val="baseline"/>
        <w:rPr>
          <w:rFonts w:ascii="Arial" w:eastAsia="Times New Roman" w:hAnsi="Arial" w:cs="Arial"/>
          <w:color w:val="000000"/>
          <w:kern w:val="0"/>
          <w:sz w:val="22"/>
          <w:szCs w:val="22"/>
          <w:lang w:eastAsia="de-DE"/>
          <w14:ligatures w14:val="none"/>
        </w:rPr>
      </w:pPr>
      <w:r w:rsidRPr="0024797E">
        <w:rPr>
          <w:rFonts w:ascii="Arial" w:eastAsia="Times New Roman" w:hAnsi="Arial" w:cs="Arial"/>
          <w:color w:val="000000"/>
          <w:kern w:val="0"/>
          <w:sz w:val="22"/>
          <w:szCs w:val="22"/>
          <w:lang w:eastAsia="de-DE"/>
          <w14:ligatures w14:val="none"/>
        </w:rPr>
        <w:t>die Landesregierung auf, auf Landesebene umgehend strukturelle Entlastungsmaßnahmen umzusetzen sowie sich auf Bundesebene dafür einzusetzen, dass auch der Bund dauerhafte Maßnahmen zur Sicherung der finanziellen Handlungsfähigkeit der Kommunen ergreift und bestehende Defizite wirksam ausgleicht. </w:t>
      </w:r>
    </w:p>
    <w:p w14:paraId="6663CA6B" w14:textId="77777777" w:rsidR="0024797E" w:rsidRPr="0024797E" w:rsidRDefault="0024797E" w:rsidP="0024797E">
      <w:pPr>
        <w:numPr>
          <w:ilvl w:val="0"/>
          <w:numId w:val="2"/>
        </w:numPr>
        <w:spacing w:after="200" w:line="240" w:lineRule="auto"/>
        <w:textAlignment w:val="baseline"/>
        <w:rPr>
          <w:rFonts w:ascii="Arial" w:eastAsia="Times New Roman" w:hAnsi="Arial" w:cs="Arial"/>
          <w:color w:val="000000"/>
          <w:kern w:val="0"/>
          <w:sz w:val="22"/>
          <w:szCs w:val="22"/>
          <w:lang w:eastAsia="de-DE"/>
          <w14:ligatures w14:val="none"/>
        </w:rPr>
      </w:pPr>
      <w:r w:rsidRPr="0024797E">
        <w:rPr>
          <w:rFonts w:ascii="Arial" w:eastAsia="Times New Roman" w:hAnsi="Arial" w:cs="Arial"/>
          <w:color w:val="000000"/>
          <w:kern w:val="0"/>
          <w:sz w:val="22"/>
          <w:szCs w:val="22"/>
          <w:lang w:eastAsia="de-DE"/>
          <w14:ligatures w14:val="none"/>
        </w:rPr>
        <w:t>die Landesregierung auf, sich auf Bundesebene für eine Soforthilfe durch eine Erhöhung des kommunalen Umsatzsteueranteils einzusetzen, um den Städten und Gemeinden kurzfristig wirksame Mittel zur Verfügung zu stellen und eine weitere Neuverschuldung abzuwenden. </w:t>
      </w:r>
    </w:p>
    <w:p w14:paraId="1D59666E" w14:textId="77777777" w:rsidR="0024797E" w:rsidRPr="0024797E" w:rsidRDefault="0024797E" w:rsidP="0024797E">
      <w:pPr>
        <w:numPr>
          <w:ilvl w:val="0"/>
          <w:numId w:val="2"/>
        </w:numPr>
        <w:spacing w:after="200" w:line="240" w:lineRule="auto"/>
        <w:textAlignment w:val="baseline"/>
        <w:rPr>
          <w:rFonts w:ascii="Arial" w:eastAsia="Times New Roman" w:hAnsi="Arial" w:cs="Arial"/>
          <w:color w:val="000000"/>
          <w:kern w:val="0"/>
          <w:sz w:val="22"/>
          <w:szCs w:val="22"/>
          <w:lang w:eastAsia="de-DE"/>
          <w14:ligatures w14:val="none"/>
        </w:rPr>
      </w:pPr>
      <w:r w:rsidRPr="0024797E">
        <w:rPr>
          <w:rFonts w:ascii="Arial" w:eastAsia="Times New Roman" w:hAnsi="Arial" w:cs="Arial"/>
          <w:color w:val="000000"/>
          <w:kern w:val="0"/>
          <w:sz w:val="22"/>
          <w:szCs w:val="22"/>
          <w:lang w:eastAsia="de-DE"/>
          <w14:ligatures w14:val="none"/>
        </w:rPr>
        <w:t xml:space="preserve">eine Rücknahme des Länder- und Kommunalentlastungsgesetzes (LKEG), sodass die vorgesehenen Mittel eingesetzt werden können, um eine tatsächliche finanzielle </w:t>
      </w:r>
      <w:r w:rsidRPr="0024797E">
        <w:rPr>
          <w:rFonts w:ascii="Arial" w:eastAsia="Times New Roman" w:hAnsi="Arial" w:cs="Arial"/>
          <w:color w:val="000000"/>
          <w:kern w:val="0"/>
          <w:sz w:val="22"/>
          <w:szCs w:val="22"/>
          <w:lang w:eastAsia="de-DE"/>
          <w14:ligatures w14:val="none"/>
        </w:rPr>
        <w:lastRenderedPageBreak/>
        <w:t>Aufstockung und verbindliche Weiterleitung von Bundesmitteln an die kommunale Ebene sicherzustellen, anstatt pauschale Zuweisungen an die Länder ohne Zweckbindung zu leisten.</w:t>
      </w:r>
    </w:p>
    <w:p w14:paraId="09BB5199" w14:textId="77777777" w:rsidR="0024797E" w:rsidRPr="0024797E" w:rsidRDefault="0024797E" w:rsidP="0024797E">
      <w:pPr>
        <w:numPr>
          <w:ilvl w:val="0"/>
          <w:numId w:val="2"/>
        </w:numPr>
        <w:spacing w:after="200" w:line="240" w:lineRule="auto"/>
        <w:textAlignment w:val="baseline"/>
        <w:rPr>
          <w:rFonts w:ascii="Arial" w:eastAsia="Times New Roman" w:hAnsi="Arial" w:cs="Arial"/>
          <w:color w:val="000000"/>
          <w:kern w:val="0"/>
          <w:sz w:val="22"/>
          <w:szCs w:val="22"/>
          <w:lang w:eastAsia="de-DE"/>
          <w14:ligatures w14:val="none"/>
        </w:rPr>
      </w:pPr>
      <w:r w:rsidRPr="0024797E">
        <w:rPr>
          <w:rFonts w:ascii="Arial" w:eastAsia="Times New Roman" w:hAnsi="Arial" w:cs="Arial"/>
          <w:color w:val="000000"/>
          <w:kern w:val="0"/>
          <w:sz w:val="22"/>
          <w:szCs w:val="22"/>
          <w:lang w:eastAsia="de-DE"/>
          <w14:ligatures w14:val="none"/>
        </w:rPr>
        <w:t>Kürzungen bei gesetzlichen Sozialleistungen – insbesondere beim Unterhaltsvorschuss, der Eingliederungshilfe und den Leistungen für Menschen mit Behinderung oder Geflüchtete – als Mittel der Haushaltskonsolidierung abzulehnen. Diese verursachen einen großen gesellschaftlichen Schaden und hohe Folgekosten, während die erwarteten Einsparungen nicht annähernd ausreichend sind, um das kommunale Defizit zu decken. </w:t>
      </w:r>
    </w:p>
    <w:p w14:paraId="72360091" w14:textId="77777777" w:rsidR="0024797E" w:rsidRPr="0024797E" w:rsidRDefault="0024797E" w:rsidP="0024797E">
      <w:pPr>
        <w:numPr>
          <w:ilvl w:val="0"/>
          <w:numId w:val="2"/>
        </w:numPr>
        <w:spacing w:after="200" w:line="240" w:lineRule="auto"/>
        <w:textAlignment w:val="baseline"/>
        <w:rPr>
          <w:rFonts w:ascii="Arial" w:eastAsia="Times New Roman" w:hAnsi="Arial" w:cs="Arial"/>
          <w:color w:val="000000"/>
          <w:kern w:val="0"/>
          <w:sz w:val="22"/>
          <w:szCs w:val="22"/>
          <w:lang w:eastAsia="de-DE"/>
          <w14:ligatures w14:val="none"/>
        </w:rPr>
      </w:pPr>
      <w:r w:rsidRPr="0024797E">
        <w:rPr>
          <w:rFonts w:ascii="Arial" w:eastAsia="Times New Roman" w:hAnsi="Arial" w:cs="Arial"/>
          <w:color w:val="000000"/>
          <w:kern w:val="0"/>
          <w:sz w:val="22"/>
          <w:szCs w:val="22"/>
          <w:lang w:eastAsia="de-DE"/>
          <w14:ligatures w14:val="none"/>
        </w:rPr>
        <w:t>die Landesregierung auf, administrative Einsparpotenziale zu heben – primär durch den Abbau landesrechtlicher Vorgaben und bürokratischer Hemmnisse für Kommunen sowie durch den gemeinsamen Druck auf den Bund für eine schnelle und umfängliche Digitalisierung sowie Entbürokratisierung von Verwaltungsprozessen. </w:t>
      </w:r>
    </w:p>
    <w:p w14:paraId="4052726F" w14:textId="5FDEDD99" w:rsidR="004E38D3" w:rsidRPr="0024797E" w:rsidRDefault="0024797E" w:rsidP="0024797E">
      <w:pPr>
        <w:numPr>
          <w:ilvl w:val="0"/>
          <w:numId w:val="2"/>
        </w:numPr>
        <w:spacing w:after="200" w:line="240" w:lineRule="auto"/>
        <w:textAlignment w:val="baseline"/>
        <w:rPr>
          <w:rFonts w:ascii="Arial" w:eastAsia="Times New Roman" w:hAnsi="Arial" w:cs="Arial"/>
          <w:color w:val="000000"/>
          <w:kern w:val="0"/>
          <w:sz w:val="22"/>
          <w:szCs w:val="22"/>
          <w:lang w:eastAsia="de-DE"/>
          <w14:ligatures w14:val="none"/>
        </w:rPr>
      </w:pPr>
      <w:r w:rsidRPr="0024797E">
        <w:rPr>
          <w:rFonts w:ascii="Arial" w:eastAsia="Times New Roman" w:hAnsi="Arial" w:cs="Arial"/>
          <w:color w:val="000000"/>
          <w:kern w:val="0"/>
          <w:sz w:val="22"/>
          <w:szCs w:val="22"/>
          <w:lang w:eastAsia="de-DE"/>
          <w14:ligatures w14:val="none"/>
        </w:rPr>
        <w:t>die Landesregierung auf, auf Bundesebene sowie im Rahmen der Finanzministerkonferenz darauf hinzuwirken, dass der Bund seine steuerpolitischen Handlungsspielräume aktiv für eine Stärkung der Einnahmenseite einsetzt, um die kommunale Infrastruktur durch das konsequente Schließen von Steuerlücken bei der Erbschaft- und Immobilienbesteuerung sowie eine faire Beteiligung sehr hoher Vermögen dauerhaft abzusichern.</w:t>
      </w:r>
    </w:p>
    <w:sectPr w:rsidR="004E38D3" w:rsidRPr="0024797E">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5E10B4"/>
    <w:multiLevelType w:val="multilevel"/>
    <w:tmpl w:val="1EF624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6742B87"/>
    <w:multiLevelType w:val="multilevel"/>
    <w:tmpl w:val="12CA0F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4964366">
    <w:abstractNumId w:val="1"/>
  </w:num>
  <w:num w:numId="2" w16cid:durableId="3434815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8D3"/>
    <w:rsid w:val="0024797E"/>
    <w:rsid w:val="004E38D3"/>
    <w:rsid w:val="00B72ED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2D576A"/>
  <w15:chartTrackingRefBased/>
  <w15:docId w15:val="{DF870258-8EC7-493E-A8C7-BECAE37F1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4E38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4E38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4E38D3"/>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4E38D3"/>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4E38D3"/>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4E38D3"/>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4E38D3"/>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4E38D3"/>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4E38D3"/>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4E38D3"/>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4E38D3"/>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4E38D3"/>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4E38D3"/>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4E38D3"/>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4E38D3"/>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4E38D3"/>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4E38D3"/>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4E38D3"/>
    <w:rPr>
      <w:rFonts w:eastAsiaTheme="majorEastAsia" w:cstheme="majorBidi"/>
      <w:color w:val="272727" w:themeColor="text1" w:themeTint="D8"/>
    </w:rPr>
  </w:style>
  <w:style w:type="paragraph" w:styleId="Titel">
    <w:name w:val="Title"/>
    <w:basedOn w:val="Standard"/>
    <w:next w:val="Standard"/>
    <w:link w:val="TitelZchn"/>
    <w:uiPriority w:val="10"/>
    <w:qFormat/>
    <w:rsid w:val="004E38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4E38D3"/>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4E38D3"/>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4E38D3"/>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4E38D3"/>
    <w:pPr>
      <w:spacing w:before="160"/>
      <w:jc w:val="center"/>
    </w:pPr>
    <w:rPr>
      <w:i/>
      <w:iCs/>
      <w:color w:val="404040" w:themeColor="text1" w:themeTint="BF"/>
    </w:rPr>
  </w:style>
  <w:style w:type="character" w:customStyle="1" w:styleId="ZitatZchn">
    <w:name w:val="Zitat Zchn"/>
    <w:basedOn w:val="Absatz-Standardschriftart"/>
    <w:link w:val="Zitat"/>
    <w:uiPriority w:val="29"/>
    <w:rsid w:val="004E38D3"/>
    <w:rPr>
      <w:i/>
      <w:iCs/>
      <w:color w:val="404040" w:themeColor="text1" w:themeTint="BF"/>
    </w:rPr>
  </w:style>
  <w:style w:type="paragraph" w:styleId="Listenabsatz">
    <w:name w:val="List Paragraph"/>
    <w:basedOn w:val="Standard"/>
    <w:uiPriority w:val="34"/>
    <w:qFormat/>
    <w:rsid w:val="004E38D3"/>
    <w:pPr>
      <w:ind w:left="720"/>
      <w:contextualSpacing/>
    </w:pPr>
  </w:style>
  <w:style w:type="character" w:styleId="IntensiveHervorhebung">
    <w:name w:val="Intense Emphasis"/>
    <w:basedOn w:val="Absatz-Standardschriftart"/>
    <w:uiPriority w:val="21"/>
    <w:qFormat/>
    <w:rsid w:val="004E38D3"/>
    <w:rPr>
      <w:i/>
      <w:iCs/>
      <w:color w:val="0F4761" w:themeColor="accent1" w:themeShade="BF"/>
    </w:rPr>
  </w:style>
  <w:style w:type="paragraph" w:styleId="IntensivesZitat">
    <w:name w:val="Intense Quote"/>
    <w:basedOn w:val="Standard"/>
    <w:next w:val="Standard"/>
    <w:link w:val="IntensivesZitatZchn"/>
    <w:uiPriority w:val="30"/>
    <w:qFormat/>
    <w:rsid w:val="004E38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4E38D3"/>
    <w:rPr>
      <w:i/>
      <w:iCs/>
      <w:color w:val="0F4761" w:themeColor="accent1" w:themeShade="BF"/>
    </w:rPr>
  </w:style>
  <w:style w:type="character" w:styleId="IntensiverVerweis">
    <w:name w:val="Intense Reference"/>
    <w:basedOn w:val="Absatz-Standardschriftart"/>
    <w:uiPriority w:val="32"/>
    <w:qFormat/>
    <w:rsid w:val="004E38D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631</Words>
  <Characters>3981</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Hartmann I Büro Karoline Otte (MdB)</dc:creator>
  <cp:keywords/>
  <dc:description/>
  <cp:lastModifiedBy>Alexander Hartmann I Büro Karoline Otte (MdB)</cp:lastModifiedBy>
  <cp:revision>1</cp:revision>
  <dcterms:created xsi:type="dcterms:W3CDTF">2026-08-26T08:36:00Z</dcterms:created>
  <dcterms:modified xsi:type="dcterms:W3CDTF">2026-08-26T08:56:00Z</dcterms:modified>
</cp:coreProperties>
</file>